
<file path=[Content_Types].xml><?xml version="1.0" encoding="utf-8"?>
<Types xmlns="http://schemas.openxmlformats.org/package/2006/content-types">
  <Default Extension="jpg" ContentType="application/octet-stream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/>
  <w:body>
    <w:p>
      <w:pPr>
        <w:pStyle w:val="Para0"/>
        <w:spacing w:line="276" w:lineRule="auto" w:after="200"/>
        <w:ind w:firstLine="708"/>
        <w:rPr>
          <w:sz w:val="72"/>
          <w:szCs w:val="72"/>
          <w:rFonts w:ascii="Calibri" w:eastAsia="Calibri" w:hAnsi="Calibri"/>
        </w:rPr>
      </w:pPr>
      <w:r>
        <w:rPr>
          <w:rStyle w:val="Character1"/>
          <w:sz w:val="52"/>
          <w:szCs w:val="52"/>
        </w:rPr>
        <w:t xml:space="preserve"> </w:t>
      </w:r>
    </w:p>
    <w:p>
      <w:pPr>
        <w:pStyle w:val="Para0"/>
        <w:spacing w:line="276" w:lineRule="auto" w:after="200"/>
        <w:ind w:firstLine="708"/>
        <w:rPr>
          <w:sz w:val="52"/>
          <w:szCs w:val="52"/>
          <w:rFonts w:ascii="Calibri" w:eastAsia="Calibri" w:hAnsi="Calibri"/>
        </w:rPr>
      </w:pPr>
      <w:r>
        <w:rPr>
          <w:rStyle w:val="Character1"/>
          <w:sz w:val="52"/>
          <w:szCs w:val="52"/>
        </w:rPr>
        <w:t xml:space="preserve"> </w:t>
      </w:r>
      <w:r>
        <w:rPr>
          <w:rStyle w:val="Character2"/>
          <w:sz w:val="52"/>
          <w:szCs w:val="52"/>
        </w:rPr>
        <w:t xml:space="preserve">1° TORNEO DI DOPPIO FEMMINILE</w:t>
      </w:r>
    </w:p>
    <w:p>
      <w:pPr>
        <w:pStyle w:val="Para0"/>
        <w:spacing w:line="276" w:lineRule="auto" w:after="200"/>
        <w:ind w:firstLine="708"/>
        <w:rPr>
          <w:sz w:val="96"/>
          <w:szCs w:val="96"/>
          <w:rFonts w:ascii="Calibri" w:eastAsia="Calibri" w:hAnsi="Calibri"/>
        </w:rPr>
      </w:pPr>
      <w:r>
        <w:rPr>
          <w:rStyle w:val="Character4"/>
          <w:color w:val="D99594"/>
          <w:sz w:val="96"/>
          <w:szCs w:val="96"/>
        </w:rPr>
        <w:t xml:space="preserve">WOMAN IN FLOWER</w:t>
      </w:r>
    </w:p>
    <w:p>
      <w:pPr>
        <w:pStyle w:val="Para1"/>
        <w:spacing w:line="276" w:lineRule="auto" w:after="200"/>
        <w:ind w:left="0"/>
        <w:rPr>
          <w:sz w:val="52"/>
          <w:szCs w:val="52"/>
          <w:rFonts w:ascii="Calibri" w:eastAsia="Calibri" w:hAnsi="Calibri"/>
        </w:rPr>
      </w:pPr>
      <w:r>
        <w:rPr>
          <w:sz w:val="20"/>
        </w:rPr>
        <w:drawing>
          <wp:inline distT="0" distB="0" distL="0" distR="0">
            <wp:extent cx="6124575" cy="2266950"/>
            <wp:effectExtent l="19050" t="0" r="9525" b="0"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4575" cy="2266950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725295" cy="1849120"/>
            <wp:effectExtent l="19050" t="0" r="9525" b="0"/>
            <wp:docPr id="3" name="Picture 2" descr="/data/data/com.infraware.PolarisOfficeStdForTablet/files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5295" cy="1849120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cter7"/>
          <w:sz w:val="32"/>
          <w:szCs w:val="32"/>
        </w:rPr>
        <w:t xml:space="preserve">   </w:t>
      </w:r>
      <w:r>
        <w:rPr>
          <w:sz w:val="20"/>
        </w:rPr>
        <w:drawing>
          <wp:inline distT="0" distB="0" distL="0" distR="0">
            <wp:extent cx="2066925" cy="2066925"/>
            <wp:effectExtent l="19050" t="0" r="9525" b="0"/>
            <wp:docPr id="4" name="Picture 3" descr="/data/data/com.infraware.PolarisOfficeStdForTablet/files/.polaris_temp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data/data/com.infraware.PolarisOfficeStdForTablet/files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6925" cy="2066925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2057400" cy="1428750"/>
            <wp:effectExtent l="19050" t="0" r="0" b="0"/>
            <wp:docPr id="5" name="Picture 4" descr="/data/data/com.infraware.PolarisOfficeStdForTablet/files/.polaris_temp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data/data/com.infraware.PolarisOfficeStdForTablet/files/.polaris_temp/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7400" cy="1428750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2501900" cy="2228850"/>
            <wp:effectExtent l="19050" t="0" r="0" b="0"/>
            <wp:docPr id="6" name="Picture 5" descr="/data/data/com.infraware.PolarisOfficeStdForTablet/files/.polaris_temp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data/data/com.infraware.PolarisOfficeStdForTablet/files/.polaris_temp/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1900" cy="2228850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960880" cy="1980565"/>
            <wp:effectExtent l="19050" t="0" r="635" b="0"/>
            <wp:docPr id="7" name="Picture 6" descr="/data/data/com.infraware.PolarisOfficeStdForTablet/files/.polaris_temp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data/data/com.infraware.PolarisOfficeStdForTablet/files/.polaris_temp/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0880" cy="1980565"/>
                    </a:xfrm>
                    <a:prstGeom prst="rect"/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cter7"/>
          <w:sz w:val="32"/>
          <w:szCs w:val="32"/>
        </w:rPr>
        <w:t xml:space="preserve">                                                         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Il torneo  é riservato alle atlete tesserate FISB della stagione 2015 nelle categorie A, </w:t>
      </w:r>
      <w:r>
        <w:rPr>
          <w:rStyle w:val="Character8"/>
          <w:sz w:val="28"/>
          <w:szCs w:val="28"/>
        </w:rPr>
        <w:t xml:space="preserve">B, C e D e si giocherà con handicap federale.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Organizzato dal sig. Piero Colombani, dal sig. Mario Piacentini e dalla sig.ra </w:t>
      </w:r>
      <w:r>
        <w:rPr>
          <w:rStyle w:val="Character8"/>
          <w:sz w:val="28"/>
          <w:szCs w:val="28"/>
        </w:rPr>
        <w:t xml:space="preserve">Alessandra Morra, in rappresentanza delle A.S.D. Quirinale, Crackerjack ed Amici </w:t>
      </w:r>
      <w:r>
        <w:rPr>
          <w:rStyle w:val="Character8"/>
          <w:sz w:val="28"/>
          <w:szCs w:val="28"/>
        </w:rPr>
        <w:t xml:space="preserve">del King, con la collaborazione dei Comitati Regionali, il torneo si articolerà in </w:t>
      </w:r>
      <w:r>
        <w:rPr>
          <w:rStyle w:val="Character8"/>
          <w:sz w:val="28"/>
          <w:szCs w:val="28"/>
        </w:rPr>
        <w:t xml:space="preserve">quattro fasi Regionali ed una Finale Nazionale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Le 4 tappe Regionali si disputeranno in doppio, l'accesso alla fase Finale Nazionale </w:t>
      </w:r>
      <w:r>
        <w:rPr>
          <w:rStyle w:val="Character8"/>
          <w:sz w:val="28"/>
          <w:szCs w:val="28"/>
        </w:rPr>
        <w:t xml:space="preserve">sarà fatta sulla base della classifica all-events di singolo delle 4 tappe.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E' consentita la formazione di doppi di Associazioni Sportive differenti.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Ad ogni tappa verranno disputate sei partite di doppio a totale birilli + handicap, il </w:t>
      </w:r>
      <w:r>
        <w:rPr>
          <w:rStyle w:val="Character8"/>
          <w:sz w:val="28"/>
          <w:szCs w:val="28"/>
        </w:rPr>
        <w:t xml:space="preserve">numero di partite per coppia di piste e gli spostamenti relativi saranno determinati </w:t>
      </w:r>
      <w:r>
        <w:rPr>
          <w:rStyle w:val="Character8"/>
          <w:sz w:val="28"/>
          <w:szCs w:val="28"/>
        </w:rPr>
        <w:t xml:space="preserve">sulla base della partecipazione alle singole tappe.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Ad ogni tappa sarà possibile cambiare le formazioni del doppio.</w:t>
      </w:r>
    </w:p>
    <w:p>
      <w:pPr>
        <w:pStyle w:val="Para4"/>
        <w:spacing w:line="276" w:lineRule="auto" w:after="200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Al termine delle 4 tappe verrà redatta una classifica regionale di singolo all-events, </w:t>
      </w:r>
      <w:r>
        <w:rPr>
          <w:rStyle w:val="Character8"/>
          <w:sz w:val="28"/>
          <w:szCs w:val="28"/>
        </w:rPr>
        <w:t xml:space="preserve">handicap compreso ed il 70% delle atlete di ciascuna regione si qualificherà per la </w:t>
      </w:r>
      <w:r>
        <w:rPr>
          <w:rStyle w:val="Character8"/>
          <w:sz w:val="28"/>
          <w:szCs w:val="28"/>
        </w:rPr>
        <w:t xml:space="preserve">Finale Nazionale.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Finale Nazionale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Accederanno alla Finale Nazionale il 70% delle atlete che avranno partecipato alle </w:t>
      </w:r>
      <w:r>
        <w:rPr>
          <w:rStyle w:val="Character8"/>
          <w:sz w:val="28"/>
          <w:szCs w:val="28"/>
        </w:rPr>
        <w:t xml:space="preserve">fasi Regionali. Nel caso in cui avranno partecipato 60 atlete alle fasi Regionali la </w:t>
      </w:r>
      <w:r>
        <w:rPr>
          <w:rStyle w:val="Character8"/>
          <w:sz w:val="28"/>
          <w:szCs w:val="28"/>
        </w:rPr>
        <w:t xml:space="preserve">Finalissima sarà composta da 20 atlete per un totale di 10 doppi.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Nel caso in cui il numero  delle partecipazioni Regionali dovesse essere maggiore il </w:t>
      </w:r>
      <w:r>
        <w:rPr>
          <w:rStyle w:val="Character8"/>
          <w:sz w:val="28"/>
          <w:szCs w:val="28"/>
        </w:rPr>
        <w:t xml:space="preserve">numero dei doppi finalisti sarà aumentato in proporzione, previa autorizzazione della </w:t>
      </w:r>
      <w:r>
        <w:rPr>
          <w:rStyle w:val="Character8"/>
          <w:sz w:val="28"/>
          <w:szCs w:val="28"/>
        </w:rPr>
        <w:t>CTS.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Semifinale 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Le atlete qualificate alla Finale Nazionale disputeranno sei partite di singolo a ritmo </w:t>
      </w:r>
      <w:r>
        <w:rPr>
          <w:rStyle w:val="Character8"/>
          <w:sz w:val="28"/>
          <w:szCs w:val="28"/>
        </w:rPr>
        <w:t xml:space="preserve">di doppio in 3 blocchi da due partite a totale birilli + handicap. Gli spostamenti al </w:t>
      </w:r>
      <w:r>
        <w:rPr>
          <w:rStyle w:val="Character8"/>
          <w:sz w:val="28"/>
          <w:szCs w:val="28"/>
        </w:rPr>
        <w:t xml:space="preserve">termine di ogni blocco verranno determinati in funzione della partecipazione e della </w:t>
      </w:r>
      <w:r>
        <w:rPr>
          <w:rStyle w:val="Character8"/>
          <w:sz w:val="28"/>
          <w:szCs w:val="28"/>
        </w:rPr>
        <w:t xml:space="preserve">suddivisione in turni.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Le migliori 20  atlete si qualificheranno per la finale.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>Finale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La finale del torneo sarà disputata da 10 doppi che verranno composti con la seguente </w:t>
      </w:r>
      <w:r>
        <w:rPr>
          <w:rStyle w:val="Character8"/>
          <w:sz w:val="28"/>
          <w:szCs w:val="28"/>
        </w:rPr>
        <w:t xml:space="preserve">tabella: 1°-20°, 2°-19°, 3°- 18º e cosi via.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I doppi così formati disputeranno 6 partite a totale birilli+handicap in 3 blocchi da </w:t>
      </w:r>
      <w:r>
        <w:rPr>
          <w:rStyle w:val="Character8"/>
          <w:sz w:val="28"/>
          <w:szCs w:val="28"/>
        </w:rPr>
        <w:t xml:space="preserve">due partite con spostamento di 8 piste ad ogni blocco.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Il doppio che al termine delle 6 partite avrà totalizzato più birilli handicap compreso </w:t>
      </w:r>
      <w:r>
        <w:rPr>
          <w:rStyle w:val="Character8"/>
          <w:sz w:val="28"/>
          <w:szCs w:val="28"/>
        </w:rPr>
        <w:t xml:space="preserve">sarà il vincitore del 1° Trofeo di Doppio femminile  2015. </w:t>
      </w:r>
    </w:p>
    <w:p>
      <w:pPr>
        <w:pStyle w:val="Para5"/>
        <w:spacing w:line="276" w:lineRule="auto"/>
        <w:ind w:left="2832" w:firstLine="0"/>
        <w:rPr>
          <w:sz w:val="40"/>
          <w:szCs w:val="40"/>
          <w:rFonts w:ascii="Times New Roman" w:eastAsia="Times New Roman" w:hAnsi="Times New Roman"/>
        </w:rPr>
      </w:pPr>
      <w:r>
        <w:rPr>
          <w:rStyle w:val="Character10"/>
          <w:sz w:val="40"/>
          <w:szCs w:val="40"/>
        </w:rPr>
        <w:t xml:space="preserve">  "</w:t>
      </w:r>
      <w:r>
        <w:rPr>
          <w:rStyle w:val="Character11"/>
          <w:sz w:val="40"/>
          <w:szCs w:val="40"/>
        </w:rPr>
        <w:t xml:space="preserve">Woman in Flowers</w:t>
      </w:r>
      <w:r>
        <w:rPr>
          <w:rStyle w:val="Character10"/>
          <w:sz w:val="40"/>
          <w:szCs w:val="40"/>
        </w:rPr>
        <w:t>"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Quote di iscrizione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Iscrizione al Torneo, che andrà totalmente a Fondo Premi per la Finalissima: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€ 20, 00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>Qualificazione</w:t>
      </w:r>
      <w:r>
        <w:rPr>
          <w:rStyle w:val="Character9"/>
          <w:sz w:val="28"/>
          <w:szCs w:val="28"/>
        </w:rPr>
        <w:t xml:space="preserve"> :  </w:t>
      </w:r>
      <w:r>
        <w:rPr>
          <w:rStyle w:val="Character8"/>
          <w:sz w:val="28"/>
          <w:szCs w:val="28"/>
        </w:rPr>
        <w:t xml:space="preserve">€ 20,00 a tappa</w:t>
      </w:r>
      <w:r>
        <w:rPr>
          <w:rStyle w:val="Character9"/>
          <w:sz w:val="28"/>
          <w:szCs w:val="28"/>
        </w:rPr>
        <w:t xml:space="preserve"> </w:t>
      </w:r>
      <w:r>
        <w:rPr>
          <w:rStyle w:val="Character8"/>
          <w:sz w:val="28"/>
          <w:szCs w:val="28"/>
        </w:rPr>
        <w:t xml:space="preserve">compreso il costo delle partite.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Semifinale : € 20,00 compreso il costo delle partite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Finale : € 15,00 compreso il costo delle partite.</w:t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Al termine di ogni tappa,  ogni regione invierà al responsabile nazionale del torneo </w:t>
      </w:r>
      <w:r>
        <w:rPr>
          <w:rStyle w:val="Character8"/>
          <w:sz w:val="28"/>
          <w:szCs w:val="28"/>
        </w:rPr>
        <w:t xml:space="preserve">Sig. Piero Colombani un breve rendiconto indicando le quote incassate, decurtate </w:t>
      </w:r>
      <w:r>
        <w:rPr>
          <w:rStyle w:val="Character8"/>
          <w:sz w:val="28"/>
          <w:szCs w:val="28"/>
        </w:rPr>
        <w:t xml:space="preserve">della spesa per le partite. La quota rimanente contribuirà a formare il montepremi </w:t>
      </w:r>
      <w:r>
        <w:rPr>
          <w:rStyle w:val="Character8"/>
          <w:sz w:val="28"/>
          <w:szCs w:val="28"/>
        </w:rPr>
        <w:t xml:space="preserve">finale. I rendiconti verranno pubblicati dopo ogni tappa.</w:t>
      </w:r>
    </w:p>
    <w:p>
      <w:pPr>
        <w:pStyle w:val="Para3"/>
        <w:spacing w:line="276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/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>Gratificazioni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Al termine della Finalissima i doppi finalisti riceveranno un premio in percentuale </w:t>
      </w:r>
      <w:r>
        <w:rPr>
          <w:rStyle w:val="Character8"/>
          <w:sz w:val="28"/>
          <w:szCs w:val="28"/>
        </w:rPr>
        <w:t xml:space="preserve">che verrà determinato in funzione della partecipazione complessiva al torneo.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La ripartizione dei premi verrà pubblicata prima dell'inizio della fase finale.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9"/>
          <w:sz w:val="28"/>
          <w:szCs w:val="28"/>
        </w:rPr>
        <w:t xml:space="preserve">Tempistica del torneo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Le 4 tappe regionali dovranno essere disputate come segue: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1° tappa entro il mese di febbraio 2015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2° tappa entro il 15 aprile 2015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3° tappa entro il mese di maggio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4° tappa entro il mese di giugno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2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La fase finale si svolgerà il 25 e 26 luglio presso il Centro Bowling di Firenze "Crazy </w:t>
      </w:r>
      <w:r>
        <w:rPr>
          <w:rStyle w:val="Character8"/>
          <w:sz w:val="28"/>
          <w:szCs w:val="28"/>
        </w:rPr>
        <w:t>Bowling".</w:t>
      </w:r>
    </w:p>
    <w:p>
      <w:pPr>
        <w:pStyle w:val="Para3"/>
        <w:spacing w:line="276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/>
      </w:r>
    </w:p>
    <w:p>
      <w:pPr>
        <w:pStyle w:val="Para6"/>
        <w:spacing w:line="276" w:lineRule="auto" w:after="200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Sig. Piero Colombani      Sig. Mario Piacentini     Sig.ra Alessandra Morra</w:t>
      </w:r>
    </w:p>
    <w:p>
      <w:pPr>
        <w:pStyle w:val="Para7"/>
        <w:spacing w:line="240" w:lineRule="auto"/>
        <w:ind w:left="0"/>
        <w:rPr>
          <w:sz w:val="20"/>
          <w:szCs w:val="20"/>
          <w:rFonts w:ascii="Calibri" w:eastAsia="Calibri" w:hAnsi="Calibri"/>
        </w:rPr>
      </w:pPr>
      <w:r>
        <w:rPr>
          <w:rStyle w:val="Character12"/>
        </w:rPr>
        <w:t/>
      </w:r>
    </w:p>
    <w:sectPr>
      <w:pgSz w:w="11906" w:h="16838" w:orient="portrait" w:code="9"/>
      <w:pgMar w:top="1417" w:right="1134" w:bottom="1134" w:left="1134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65"/>
    <w:family w:val="mordern"/>
    <w:pitch w:val="variable"/>
    <w:sig w:usb0="A00002EF" w:usb1="4000207B" w:usb2="00000000" w:usb3="00000000" w:csb0="0000009F" w:csb1="00000000"/>
  </w:font>
  <w:font w:name="Curlz M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true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left"/>
      <w:wordWrap w:val="false"/>
      <w:ind w:firstLine="708"/>
      <w:widowControl w:val="false"/>
      <w:rPr/>
    </w:pPr>
  </w:style>
  <w:style w:type="paragraph" w:customStyle="1" w:styleId="Para1">
    <w:name w:val="ParaAttribute1"/>
    <w:pPr>
      <w:spacing w:after="200"/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both"/>
      <w:wordWrap w:val="false"/>
      <w:ind w:left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after="200"/>
      <w:jc w:val="both"/>
      <w:wordWrap w:val="false"/>
      <w:ind w:left="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2832" w:firstLine="0"/>
      <w:widowControl w:val="false"/>
      <w:rPr/>
    </w:pPr>
  </w:style>
  <w:style w:type="paragraph" w:customStyle="1" w:styleId="Para6">
    <w:name w:val="ParaAttribute6"/>
    <w:pPr>
      <w:spacing w:after="200"/>
      <w:jc w:val="left"/>
      <w:wordWrap w:val="false"/>
      <w:ind w:left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72"/>
    </w:rPr>
  </w:style>
  <w:style w:type="character" w:customStyle="1" w:styleId="Character1">
    <w:name w:val="CharAttribute1"/>
    <w:rPr>
      <w:rFonts w:ascii="Calibri" w:eastAsia="Calibri" w:hAnsi="Calibri"/>
      <w:sz w:val="52"/>
    </w:rPr>
  </w:style>
  <w:style w:type="character" w:customStyle="1" w:styleId="Character2">
    <w:name w:val="CharAttribute2"/>
    <w:rPr>
      <w:rFonts w:ascii="Curlz MT" w:eastAsia="Curlz MT" w:hAnsi="Curlz MT"/>
      <w:b/>
      <w:sz w:val="52"/>
    </w:rPr>
  </w:style>
  <w:style w:type="character" w:customStyle="1" w:styleId="Character3">
    <w:name w:val="CharAttribute3"/>
    <w:rPr>
      <w:rFonts w:ascii="Calibri" w:eastAsia="Calibri" w:hAnsi="Calibri"/>
      <w:sz w:val="96"/>
    </w:rPr>
  </w:style>
  <w:style w:type="character" w:customStyle="1" w:styleId="Character4">
    <w:name w:val="CharAttribute4"/>
    <w:rPr>
      <w:rFonts w:ascii="Calibri" w:eastAsia="Calibri" w:hAnsi="Calibri"/>
      <w:color w:val="D99594"/>
      <w:sz w:val="96"/>
    </w:rPr>
  </w:style>
  <w:style w:type="character" w:customStyle="1" w:styleId="Character5">
    <w:name w:val="CharAttribute5"/>
    <w:rPr>
      <w:rFonts w:ascii="바탕" w:eastAsia="바탕" w:hAnsi="바탕"/>
    </w:rPr>
  </w:style>
  <w:style w:type="character" w:customStyle="1" w:styleId="Character6">
    <w:name w:val="CharAttribute6"/>
    <w:rPr>
      <w:rFonts w:ascii="Calibri" w:eastAsia="Calibri" w:hAnsi="Calibri"/>
      <w:sz w:val="52"/>
    </w:rPr>
  </w:style>
  <w:style w:type="character" w:customStyle="1" w:styleId="Character7">
    <w:name w:val="CharAttribute7"/>
    <w:rPr>
      <w:rFonts w:ascii="Calibri" w:eastAsia="Calibri" w:hAnsi="Calibri"/>
      <w:b/>
      <w:sz w:val="32"/>
    </w:rPr>
  </w:style>
  <w:style w:type="character" w:customStyle="1" w:styleId="Character8">
    <w:name w:val="CharAttribute8"/>
    <w:rPr>
      <w:rFonts w:ascii="Times New Roman" w:eastAsia="Times New Roman" w:hAnsi="Times New Roman"/>
      <w:sz w:val="28"/>
    </w:rPr>
  </w:style>
  <w:style w:type="character" w:customStyle="1" w:styleId="Character9">
    <w:name w:val="CharAttribute9"/>
    <w:rPr>
      <w:rFonts w:ascii="Times New Roman" w:eastAsia="Times New Roman" w:hAnsi="Times New Roman"/>
      <w:b/>
      <w:sz w:val="28"/>
    </w:rPr>
  </w:style>
  <w:style w:type="character" w:customStyle="1" w:styleId="Character10">
    <w:name w:val="CharAttribute10"/>
    <w:rPr>
      <w:rFonts w:ascii="Times New Roman" w:eastAsia="Times New Roman" w:hAnsi="Times New Roman"/>
      <w:sz w:val="40"/>
    </w:rPr>
  </w:style>
  <w:style w:type="character" w:customStyle="1" w:styleId="Character11">
    <w:name w:val="CharAttribute11"/>
    <w:rPr>
      <w:rFonts w:ascii="Times New Roman" w:eastAsia="Times New Roman" w:hAnsi="Times New Roman"/>
      <w:b/>
      <w:sz w:val="40"/>
    </w:rPr>
  </w:style>
  <w:style w:type="character" w:customStyle="1" w:styleId="Character12">
    <w:name w:val="CharAttribute12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3.jpeg"></Relationship><Relationship Id="rId8" Type="http://schemas.openxmlformats.org/officeDocument/2006/relationships/image" Target="media/image4.jpeg"></Relationship><Relationship Id="rId9" Type="http://schemas.openxmlformats.org/officeDocument/2006/relationships/image" Target="media/image5.jpeg"></Relationship><Relationship Id="rId10" Type="http://schemas.openxmlformats.org/officeDocument/2006/relationships/image" Target="media/image6.jpeg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